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吉林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省城市建设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学校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关于开展2023年第一批次职业技能等级认定工作的通知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吉林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省城市建设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学校作为经吉林省人力资源和社会保障厅批准的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职业技能等级认定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机构，于近期开展职业技能等级认定工作，具体工作如下：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职业工种及等级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表1  2023年第一批次认定开展的职业工种表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90"/>
        <w:gridCol w:w="249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职业名称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工种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中式烹调师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中式烹调师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西式烹调师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西式烹调师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西式面点师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西式面点师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茶艺师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茶艺师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工程测量员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工程测量员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电工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电工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四级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二、评价对象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符合申报条件的本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餐旅类专业、建筑类专业、智能设备类专业在校生和毕业生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申报条件满足国家职业技能标准（2018版）中各职业等级规定的申报条件要求，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详见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“申报条件”。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四、报名流程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考生由学校统一组织报名、审核，报名截止时间为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2023年10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五、报名相关事项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（一）报名材料命名为：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姓名+工种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+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级别</w:t>
      </w:r>
      <w:r>
        <w:rPr>
          <w:rFonts w:hint="eastAsia" w:ascii="楷体" w:hAnsi="楷体" w:eastAsia="楷体" w:cs="楷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3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1.职业技能等级认定报名表：</w:t>
      </w:r>
      <w:r>
        <w:rPr>
          <w:rFonts w:hint="eastAsia" w:ascii="仿宋" w:hAnsi="仿宋" w:eastAsia="仿宋" w:cs="仿宋"/>
          <w:color w:val="000000"/>
          <w:spacing w:val="30"/>
          <w:kern w:val="0"/>
          <w:sz w:val="32"/>
          <w:szCs w:val="32"/>
          <w:shd w:val="clear" w:color="auto" w:fill="FFFFFF"/>
        </w:rPr>
        <w:t>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30"/>
          <w:kern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命名为：姓名+工种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kern w:val="0"/>
          <w:sz w:val="32"/>
          <w:szCs w:val="32"/>
        </w:rPr>
        <w:t>级别。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2.个人照片：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本人近半年小二寸彩色白底免冠照片，JPG格式，命名为：姓名-1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（电子版照片大小20KB-50KB 之间）。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3.身份证照片：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包含身份证原件正、反面，身份证信息须清晰可见，JPG格式，命名为：姓名-2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（电子版大小 100-300K之间）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毕业证或技能等级证书电子版：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提供证书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电子版</w:t>
      </w:r>
      <w:r>
        <w:rPr>
          <w:rFonts w:hint="eastAsia" w:ascii="仿宋" w:hAnsi="仿宋" w:eastAsia="仿宋" w:cs="仿宋"/>
          <w:kern w:val="0"/>
          <w:sz w:val="32"/>
          <w:szCs w:val="32"/>
        </w:rPr>
        <w:t>身份信息须清晰可见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JPG格式，命名为：姓名-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电子版大小 100-300KB 之间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5.工作年限承诺书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工作年限承诺书需按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kern w:val="0"/>
          <w:sz w:val="32"/>
          <w:szCs w:val="32"/>
        </w:rPr>
        <w:t>表格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打印，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手写签字，JPG格式，命名为：姓名-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4（</w:t>
      </w:r>
      <w:r>
        <w:rPr>
          <w:rFonts w:hint="eastAsia" w:ascii="仿宋" w:hAnsi="仿宋" w:eastAsia="仿宋" w:cs="仿宋"/>
          <w:kern w:val="0"/>
          <w:sz w:val="32"/>
          <w:szCs w:val="32"/>
        </w:rPr>
        <w:t>电子版大小100-300KB之间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.提交材料真实性承诺书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手写签字承诺书，JPG格式，命名为：姓名-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5（</w:t>
      </w:r>
      <w:r>
        <w:rPr>
          <w:rFonts w:hint="eastAsia" w:ascii="仿宋" w:hAnsi="仿宋" w:eastAsia="仿宋" w:cs="仿宋"/>
          <w:kern w:val="0"/>
          <w:sz w:val="32"/>
          <w:szCs w:val="32"/>
        </w:rPr>
        <w:t>电子版大小100-300KB之间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.考生信息登记表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附件5</w:t>
      </w:r>
      <w:r>
        <w:rPr>
          <w:rFonts w:hint="eastAsia" w:ascii="仿宋" w:hAnsi="仿宋" w:eastAsia="仿宋" w:cs="仿宋"/>
          <w:color w:val="000000"/>
          <w:spacing w:val="3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命名为：姓名+工种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kern w:val="0"/>
          <w:sz w:val="32"/>
          <w:szCs w:val="32"/>
        </w:rPr>
        <w:t>级别。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（二）缴费方式及标准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1.缴费方式：现场缴费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kern w:val="0"/>
          <w:sz w:val="32"/>
          <w:szCs w:val="32"/>
        </w:rPr>
        <w:t>微信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转账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2.收费标准：四级/中级工270元/人。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3.费用一经缴纳，概不退费，请谨慎报名。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kern w:val="0"/>
          <w:sz w:val="32"/>
          <w:szCs w:val="32"/>
        </w:rPr>
        <w:t>）考试安排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考试安排具体考试时间地点以准考证为准。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六、认定方式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职业技能等级认定分为理论知识考试、技能考核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理论知识考试、技能考核和综合评审均实行百分制，成绩皆达60分（含）以上者为合格。单科合格成绩保留一年，在成绩保留期内考生可参加一次补考，补考另行组织并需缴纳补考费用。补考人员需参与所有不合格项目的补考。补考项目考核均合格，即考核通过（证书时间按补考批次时间）；补考项目中如有一项不合格，即考核不通过，所有成绩全部作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七、证书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对通过考核的人员，由吉林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省城市建设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学校颁发职业技能等级证书，证书信息可在人力资源社会保障部技能人才评价工作网查询。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八、其他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（一）报考人员应诚实守信，对报考信息的真实性负责。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（二）如遇政策或疫情等不可抗力，具体事宜将另行通知。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（三）考后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个工作日内公布评价结果。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（四）相关信息均发布于吉林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省城市建设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学校微信公众号，请及时关注。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（五）联系人：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刘老师（餐旅专业）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0432-69986433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280" w:hanging="1428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杨老师（建筑专业）     联系电话：0432-69986411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800" w:firstLineChars="25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吉林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省城市建设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800" w:firstLineChars="250"/>
        <w:jc w:val="right"/>
        <w:textAlignment w:val="auto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2023年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ZDA4YzI5NzNjMDQ2MTQ1Y2MxMjljMGRiYjI1ZWUifQ=="/>
  </w:docVars>
  <w:rsids>
    <w:rsidRoot w:val="00361276"/>
    <w:rsid w:val="00215E4E"/>
    <w:rsid w:val="00361276"/>
    <w:rsid w:val="0045003E"/>
    <w:rsid w:val="00453966"/>
    <w:rsid w:val="004E5501"/>
    <w:rsid w:val="00625FAE"/>
    <w:rsid w:val="00775002"/>
    <w:rsid w:val="008A300D"/>
    <w:rsid w:val="008C2170"/>
    <w:rsid w:val="00940409"/>
    <w:rsid w:val="009935E7"/>
    <w:rsid w:val="009E4B04"/>
    <w:rsid w:val="009F6E54"/>
    <w:rsid w:val="00A41AAD"/>
    <w:rsid w:val="00B12B54"/>
    <w:rsid w:val="00BC5BFE"/>
    <w:rsid w:val="00CE73E5"/>
    <w:rsid w:val="00D42BF4"/>
    <w:rsid w:val="00DA086B"/>
    <w:rsid w:val="00DB5671"/>
    <w:rsid w:val="00FD6A0A"/>
    <w:rsid w:val="04822175"/>
    <w:rsid w:val="08C9219A"/>
    <w:rsid w:val="121038BE"/>
    <w:rsid w:val="1C310D3D"/>
    <w:rsid w:val="2354422E"/>
    <w:rsid w:val="31F05081"/>
    <w:rsid w:val="35FA505C"/>
    <w:rsid w:val="3A546AA1"/>
    <w:rsid w:val="4E671535"/>
    <w:rsid w:val="52A66D10"/>
    <w:rsid w:val="5D86185B"/>
    <w:rsid w:val="60241879"/>
    <w:rsid w:val="652C068D"/>
    <w:rsid w:val="67421949"/>
    <w:rsid w:val="68267831"/>
    <w:rsid w:val="6F6A1B8A"/>
    <w:rsid w:val="78D03EC2"/>
    <w:rsid w:val="7A062EEE"/>
    <w:rsid w:val="7C7702B3"/>
    <w:rsid w:val="7E7A0BCD"/>
    <w:rsid w:val="7EF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4DE5-C121-4E7C-9DE1-56D9A8033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1184</Words>
  <Characters>1294</Characters>
  <Lines>8</Lines>
  <Paragraphs>2</Paragraphs>
  <TotalTime>20</TotalTime>
  <ScaleCrop>false</ScaleCrop>
  <LinksUpToDate>false</LinksUpToDate>
  <CharactersWithSpaces>1328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2023-05-17T07:14:00Z</dcterms:created>
  <dc:creator>Administrator</dc:creator>
  <cp:lastModifiedBy>刘磊</cp:lastModifiedBy>
  <dcterms:modified xsi:type="dcterms:W3CDTF">2023-09-25T04:59:04Z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A5FD85FBBEF44EF7AE2C690347887D22_13</vt:lpwstr>
  </property>
</Properties>
</file>